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外接系统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尽职调查评估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重要提示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本文件的内容是关于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东兴期货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客户的高度机密信息，不得向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东兴期货有限责任公司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以外的任何一方披露或分享，除非法律要求或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东兴期货有限责任公司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稽核部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明确批准。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部门/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分公司/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营业部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客户账号：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type w:val="continuous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835" w:space="427"/>
            <w:col w:w="3204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评估类型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首次申请                           □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定期评估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第一部分  客户信息</w:t>
      </w:r>
    </w:p>
    <w:tbl>
      <w:tblPr>
        <w:tblStyle w:val="3"/>
        <w:tblW w:w="10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03"/>
        <w:gridCol w:w="1256"/>
        <w:gridCol w:w="1429"/>
        <w:gridCol w:w="1303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投资者名称</w:t>
            </w:r>
          </w:p>
        </w:tc>
        <w:tc>
          <w:tcPr>
            <w:tcW w:w="3988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40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8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40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籍</w:t>
            </w: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142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证件有效期</w:t>
            </w:r>
          </w:p>
        </w:tc>
        <w:tc>
          <w:tcPr>
            <w:tcW w:w="40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实际控制人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实际受益人</w:t>
            </w:r>
          </w:p>
        </w:tc>
        <w:tc>
          <w:tcPr>
            <w:tcW w:w="40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404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933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第二部分  尽职调查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75"/>
        <w:gridCol w:w="4500"/>
        <w:gridCol w:w="941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（1）投资者类型：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自然人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一般法人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特殊法人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投资者职业/业务类型：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账户资金来源：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（2）已知的关联方：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账户用途：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投机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套利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套保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主要交易品种：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金融期货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金融期权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商品期货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商品期权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预计交易规模：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预计交易频率：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（1）软件类型：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软件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软件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自研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软件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外部接入需求主要原因：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分仓管理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统一风控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程序化交易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投资者对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申请软件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了解情况：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非常了解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不了解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（3）申请的软件是否有共用情况：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如果是，请具体说明：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（1）投资者风险承受能力是否与服务匹配？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如果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是，请解释：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（2）投资者是否有团队？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如果是，请具体说明：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公开信息查询：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投资者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或相关个人，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有识别出任何已知的ML/TF相关负面消息？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是的，请具体说明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软件商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有识别出任何已知的ML/TF相关负面消息？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是的，请具体说明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对于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交易软件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有识别出任何已知的ML/TF相关负面消息？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是的，请具体说明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备注：ML/TF风险包括洗钱、恐怖融资、欺诈、腐败、贿赂。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.</w:t>
            </w:r>
          </w:p>
        </w:tc>
        <w:tc>
          <w:tcPr>
            <w:tcW w:w="10205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其他风险考虑：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（1）在开始/继续与客户业务关系时，是否有任何值得关注/可疑的事项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（例如：场外配资、规避监管、操纵市场、系统安全冲击等）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？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如果是，请解释：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（2）账户活动与披露的客户资料和财务背景不符。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如果是，请解释：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经办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45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签名：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日期：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复核人</w:t>
            </w:r>
          </w:p>
        </w:tc>
        <w:tc>
          <w:tcPr>
            <w:tcW w:w="4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签名：          日期：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type w:val="continuous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jljMzZmYTExOWZhNThiMDVlZjI0NjkyMjVkMDcifQ=="/>
  </w:docVars>
  <w:rsids>
    <w:rsidRoot w:val="17D46873"/>
    <w:rsid w:val="17D46873"/>
    <w:rsid w:val="1891118D"/>
    <w:rsid w:val="24D06B58"/>
    <w:rsid w:val="3BB51FBE"/>
    <w:rsid w:val="55BC301B"/>
    <w:rsid w:val="5E1C33F4"/>
    <w:rsid w:val="606D3FCD"/>
    <w:rsid w:val="6ED56BEC"/>
    <w:rsid w:val="78D12F5F"/>
    <w:rsid w:val="7AC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2021-11-29T03:21:00Z</dcterms:created>
  <dc:creator>张瑛</dc:creator>
  <cp:lastModifiedBy>DXQH</cp:lastModifiedBy>
  <dcterms:modified xsi:type="dcterms:W3CDTF">2024-06-21T07:49:38Z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C84B2E62AD174CACB1FE337D2B4D60EE_13</vt:lpwstr>
  </property>
</Properties>
</file>